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简体" w:hAnsi="方正小标宋简体" w:eastAsia="方正小标宋简体" w:cs="方正小标宋简体"/>
          <w:color w:val="000000"/>
          <w:sz w:val="44"/>
          <w:szCs w:val="44"/>
          <w:shd w:val="clear" w:color="auto" w:fill="FFFFFF"/>
        </w:rPr>
      </w:pPr>
      <w:r>
        <w:rPr>
          <w:rFonts w:hint="eastAsia" w:ascii="方正小标宋简体" w:hAnsi="方正小标宋简体" w:eastAsia="方正小标宋简体" w:cs="方正小标宋简体"/>
          <w:color w:val="000000"/>
          <w:sz w:val="44"/>
          <w:szCs w:val="44"/>
          <w:shd w:val="clear" w:color="auto" w:fill="FFFFFF"/>
        </w:rPr>
        <w:t>《</w:t>
      </w:r>
      <w:r>
        <w:rPr>
          <w:rFonts w:ascii="方正小标宋简体" w:hAnsi="方正小标宋简体" w:eastAsia="方正小标宋简体" w:cs="方正小标宋简体"/>
          <w:color w:val="000000"/>
          <w:sz w:val="44"/>
          <w:szCs w:val="44"/>
          <w:shd w:val="clear" w:color="auto" w:fill="FFFFFF"/>
        </w:rPr>
        <w:t>沁水煤田东南部太原组15号煤中氟的赋存状态与富集机理</w:t>
      </w:r>
      <w:r>
        <w:rPr>
          <w:rFonts w:hint="eastAsia" w:ascii="方正小标宋简体" w:hAnsi="方正小标宋简体" w:eastAsia="方正小标宋简体" w:cs="方正小标宋简体"/>
          <w:color w:val="000000"/>
          <w:sz w:val="44"/>
          <w:szCs w:val="44"/>
          <w:shd w:val="clear" w:color="auto" w:fill="FFFFFF"/>
        </w:rPr>
        <w:t>》</w:t>
      </w:r>
      <w:bookmarkStart w:id="1" w:name="_GoBack"/>
      <w:bookmarkEnd w:id="1"/>
      <w:r>
        <w:rPr>
          <w:rFonts w:hint="eastAsia" w:ascii="方正小标宋简体" w:hAnsi="方正小标宋简体" w:eastAsia="方正小标宋简体" w:cs="方正小标宋简体"/>
          <w:color w:val="000000"/>
          <w:sz w:val="44"/>
          <w:szCs w:val="44"/>
          <w:shd w:val="clear" w:color="auto" w:fill="FFFFFF"/>
        </w:rPr>
        <w:t>成果公示材料</w:t>
      </w:r>
    </w:p>
    <w:p>
      <w:pPr>
        <w:widowControl/>
        <w:ind w:firstLine="640" w:firstLineChars="200"/>
        <w:jc w:val="left"/>
        <w:outlineLvl w:val="0"/>
        <w:rPr>
          <w:rFonts w:ascii="Times New Roman" w:hAnsi="Times New Roman" w:eastAsia="黑体" w:cs="Times New Roman"/>
          <w:kern w:val="0"/>
          <w:sz w:val="32"/>
          <w:szCs w:val="32"/>
          <w:lang w:bidi="ar"/>
        </w:rPr>
      </w:pPr>
      <w:r>
        <w:rPr>
          <w:rFonts w:ascii="Times New Roman" w:hAnsi="Times New Roman" w:eastAsia="黑体" w:cs="Times New Roman"/>
          <w:kern w:val="0"/>
          <w:sz w:val="32"/>
          <w:szCs w:val="32"/>
          <w:lang w:bidi="ar"/>
        </w:rPr>
        <w:t>一、</w:t>
      </w:r>
      <w:r>
        <w:rPr>
          <w:rFonts w:hint="eastAsia" w:ascii="Times New Roman" w:hAnsi="Times New Roman" w:eastAsia="黑体" w:cs="Times New Roman"/>
          <w:kern w:val="0"/>
          <w:sz w:val="32"/>
          <w:szCs w:val="32"/>
          <w:lang w:bidi="ar"/>
        </w:rPr>
        <w:t>成果基本情况</w:t>
      </w:r>
    </w:p>
    <w:p>
      <w:pPr>
        <w:widowControl/>
        <w:ind w:firstLine="643" w:firstLineChars="200"/>
        <w:jc w:val="left"/>
        <w:rPr>
          <w:rFonts w:ascii="Times New Roman" w:hAnsi="Times New Roman" w:eastAsia="仿宋" w:cs="Times New Roman"/>
          <w:kern w:val="0"/>
          <w:sz w:val="32"/>
          <w:szCs w:val="32"/>
          <w:lang w:bidi="ar"/>
        </w:rPr>
      </w:pPr>
      <w:r>
        <w:rPr>
          <w:rFonts w:ascii="Times New Roman" w:hAnsi="Times New Roman" w:eastAsia="仿宋" w:cs="Times New Roman"/>
          <w:b/>
          <w:bCs/>
          <w:kern w:val="0"/>
          <w:sz w:val="32"/>
          <w:szCs w:val="32"/>
          <w:lang w:bidi="ar"/>
        </w:rPr>
        <w:t>项目名称：</w:t>
      </w:r>
      <w:r>
        <w:rPr>
          <w:rFonts w:ascii="Times New Roman" w:hAnsi="Times New Roman" w:eastAsia="仿宋" w:cs="Times New Roman"/>
          <w:kern w:val="0"/>
          <w:sz w:val="32"/>
          <w:szCs w:val="32"/>
          <w:lang w:bidi="ar"/>
        </w:rPr>
        <w:t>沁水煤田东南部太原组15号煤中氟的赋存状态与富集机理</w:t>
      </w:r>
    </w:p>
    <w:p>
      <w:pPr>
        <w:widowControl/>
        <w:ind w:firstLine="643" w:firstLineChars="200"/>
        <w:jc w:val="left"/>
        <w:outlineLvl w:val="0"/>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主要</w:t>
      </w:r>
      <w:r>
        <w:rPr>
          <w:rFonts w:ascii="Times New Roman" w:hAnsi="Times New Roman" w:eastAsia="仿宋" w:cs="Times New Roman"/>
          <w:b/>
          <w:bCs/>
          <w:kern w:val="0"/>
          <w:sz w:val="32"/>
          <w:szCs w:val="32"/>
          <w:lang w:bidi="ar"/>
        </w:rPr>
        <w:t>完成单位：</w:t>
      </w:r>
      <w:r>
        <w:rPr>
          <w:rFonts w:hint="eastAsia" w:ascii="Times New Roman" w:hAnsi="Times New Roman" w:eastAsia="仿宋" w:cs="Times New Roman"/>
          <w:kern w:val="0"/>
          <w:sz w:val="32"/>
          <w:szCs w:val="32"/>
          <w:lang w:bidi="ar"/>
        </w:rPr>
        <w:t>山西省地质矿产研究院有限公司</w:t>
      </w:r>
    </w:p>
    <w:p>
      <w:pPr>
        <w:widowControl/>
        <w:ind w:firstLine="643" w:firstLineChars="200"/>
        <w:jc w:val="left"/>
        <w:outlineLvl w:val="0"/>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主要</w:t>
      </w:r>
      <w:r>
        <w:rPr>
          <w:rFonts w:ascii="Times New Roman" w:hAnsi="Times New Roman" w:eastAsia="仿宋" w:cs="Times New Roman"/>
          <w:b/>
          <w:bCs/>
          <w:kern w:val="0"/>
          <w:sz w:val="32"/>
          <w:szCs w:val="32"/>
          <w:lang w:bidi="ar"/>
        </w:rPr>
        <w:t>完成</w:t>
      </w:r>
      <w:r>
        <w:rPr>
          <w:rFonts w:hint="eastAsia" w:ascii="Times New Roman" w:hAnsi="Times New Roman" w:eastAsia="仿宋" w:cs="Times New Roman"/>
          <w:b/>
          <w:bCs/>
          <w:kern w:val="0"/>
          <w:sz w:val="32"/>
          <w:szCs w:val="32"/>
          <w:lang w:bidi="ar"/>
        </w:rPr>
        <w:t>人</w:t>
      </w:r>
      <w:r>
        <w:rPr>
          <w:rFonts w:ascii="Times New Roman" w:hAnsi="Times New Roman" w:eastAsia="仿宋" w:cs="Times New Roman"/>
          <w:b/>
          <w:bCs/>
          <w:kern w:val="0"/>
          <w:sz w:val="32"/>
          <w:szCs w:val="32"/>
          <w:lang w:bidi="ar"/>
        </w:rPr>
        <w:t>：</w:t>
      </w:r>
      <w:r>
        <w:rPr>
          <w:rFonts w:ascii="Times New Roman" w:hAnsi="Times New Roman" w:eastAsia="仿宋" w:cs="Times New Roman"/>
          <w:kern w:val="0"/>
          <w:sz w:val="32"/>
          <w:szCs w:val="32"/>
          <w:lang w:bidi="ar"/>
        </w:rPr>
        <w:t>张鹏、高艳丽、李健、康宇、张绍伟、解锡超、游泳健、鲁馨、郭强</w:t>
      </w:r>
    </w:p>
    <w:p>
      <w:pPr>
        <w:widowControl/>
        <w:ind w:firstLine="643" w:firstLineChars="200"/>
        <w:jc w:val="left"/>
        <w:outlineLvl w:val="0"/>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依托项目：</w:t>
      </w:r>
      <w:r>
        <w:rPr>
          <w:rFonts w:ascii="Times New Roman" w:hAnsi="Times New Roman" w:eastAsia="仿宋" w:cs="Times New Roman"/>
          <w:kern w:val="0"/>
          <w:sz w:val="32"/>
          <w:szCs w:val="32"/>
          <w:lang w:bidi="ar"/>
        </w:rPr>
        <w:t>沁水煤田东南部太原组15号煤中氟的赋存状态与富集机理</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国家自然科学基金青年科学基金</w:t>
      </w:r>
      <w:r>
        <w:rPr>
          <w:rFonts w:hint="eastAsia" w:ascii="Times New Roman" w:hAnsi="Times New Roman" w:eastAsia="仿宋" w:cs="Times New Roman"/>
          <w:kern w:val="0"/>
          <w:sz w:val="32"/>
          <w:szCs w:val="32"/>
          <w:lang w:bidi="ar"/>
        </w:rPr>
        <w:t>项目</w:t>
      </w:r>
      <w:r>
        <w:rPr>
          <w:rFonts w:ascii="Times New Roman" w:hAnsi="Times New Roman" w:eastAsia="仿宋" w:cs="Times New Roman"/>
          <w:kern w:val="0"/>
          <w:sz w:val="32"/>
          <w:szCs w:val="32"/>
          <w:lang w:bidi="ar"/>
        </w:rPr>
        <w:t>编号：41902180</w:t>
      </w:r>
      <w:r>
        <w:rPr>
          <w:rFonts w:hint="eastAsia" w:ascii="Times New Roman" w:hAnsi="Times New Roman" w:eastAsia="仿宋" w:cs="Times New Roman"/>
          <w:kern w:val="0"/>
          <w:sz w:val="32"/>
          <w:szCs w:val="32"/>
          <w:lang w:bidi="ar"/>
        </w:rPr>
        <w:t>）</w:t>
      </w:r>
    </w:p>
    <w:p>
      <w:pPr>
        <w:widowControl/>
        <w:ind w:firstLine="640" w:firstLineChars="200"/>
        <w:jc w:val="left"/>
        <w:outlineLvl w:val="0"/>
        <w:rPr>
          <w:rFonts w:ascii="Times New Roman" w:hAnsi="Times New Roman" w:eastAsia="黑体" w:cs="Times New Roman"/>
          <w:kern w:val="0"/>
          <w:sz w:val="32"/>
          <w:szCs w:val="32"/>
          <w:lang w:bidi="ar"/>
        </w:rPr>
      </w:pPr>
      <w:r>
        <w:rPr>
          <w:rFonts w:hint="eastAsia" w:ascii="Times New Roman" w:hAnsi="Times New Roman" w:eastAsia="黑体" w:cs="Times New Roman"/>
          <w:kern w:val="0"/>
          <w:sz w:val="32"/>
          <w:szCs w:val="32"/>
          <w:lang w:bidi="ar"/>
        </w:rPr>
        <w:t>二</w:t>
      </w:r>
      <w:r>
        <w:rPr>
          <w:rFonts w:ascii="Times New Roman" w:hAnsi="Times New Roman" w:eastAsia="黑体" w:cs="Times New Roman"/>
          <w:kern w:val="0"/>
          <w:sz w:val="32"/>
          <w:szCs w:val="32"/>
          <w:lang w:bidi="ar"/>
        </w:rPr>
        <w:t>、</w:t>
      </w:r>
      <w:r>
        <w:rPr>
          <w:rFonts w:hint="eastAsia" w:ascii="Times New Roman" w:hAnsi="Times New Roman" w:eastAsia="黑体" w:cs="Times New Roman"/>
          <w:kern w:val="0"/>
          <w:sz w:val="32"/>
          <w:szCs w:val="32"/>
          <w:lang w:bidi="ar"/>
        </w:rPr>
        <w:t>推荐</w:t>
      </w:r>
      <w:r>
        <w:rPr>
          <w:rFonts w:ascii="Times New Roman" w:hAnsi="Times New Roman" w:eastAsia="黑体" w:cs="Times New Roman"/>
          <w:kern w:val="0"/>
          <w:sz w:val="32"/>
          <w:szCs w:val="32"/>
          <w:lang w:bidi="ar"/>
        </w:rPr>
        <w:t>意见</w:t>
      </w:r>
    </w:p>
    <w:p>
      <w:pPr>
        <w:pStyle w:val="10"/>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kern w:val="0"/>
          <w:sz w:val="32"/>
          <w:szCs w:val="32"/>
          <w:lang w:eastAsia="zh-CN" w:bidi="ar"/>
        </w:rPr>
      </w:pPr>
      <w:r>
        <w:rPr>
          <w:rFonts w:ascii="Times New Roman" w:hAnsi="Times New Roman" w:eastAsia="仿宋" w:cs="Times New Roman"/>
          <w:kern w:val="0"/>
          <w:sz w:val="32"/>
          <w:szCs w:val="32"/>
          <w:lang w:eastAsia="zh-CN" w:bidi="ar"/>
        </w:rPr>
        <w:t>该项目分析了沁水煤田太原组15号煤中氟的含量及分布规律</w:t>
      </w:r>
      <w:r>
        <w:rPr>
          <w:rFonts w:hint="eastAsia" w:ascii="Times New Roman" w:hAnsi="Times New Roman" w:eastAsia="仿宋" w:cs="Times New Roman"/>
          <w:kern w:val="0"/>
          <w:sz w:val="32"/>
          <w:szCs w:val="32"/>
          <w:lang w:eastAsia="zh-CN" w:bidi="ar"/>
        </w:rPr>
        <w:t>。运用多种仪器和手段对</w:t>
      </w:r>
      <w:r>
        <w:rPr>
          <w:rFonts w:ascii="Times New Roman" w:hAnsi="Times New Roman" w:eastAsia="仿宋" w:cs="Times New Roman"/>
          <w:kern w:val="0"/>
          <w:sz w:val="32"/>
          <w:szCs w:val="32"/>
          <w:lang w:eastAsia="zh-CN" w:bidi="ar"/>
        </w:rPr>
        <w:t>矿物形态、赋存特征和共生组合关系</w:t>
      </w:r>
      <w:r>
        <w:rPr>
          <w:rFonts w:hint="eastAsia" w:ascii="Times New Roman" w:hAnsi="Times New Roman" w:eastAsia="仿宋" w:cs="Times New Roman"/>
          <w:kern w:val="0"/>
          <w:sz w:val="32"/>
          <w:szCs w:val="32"/>
          <w:lang w:eastAsia="zh-CN" w:bidi="ar"/>
        </w:rPr>
        <w:t>进行了</w:t>
      </w:r>
      <w:r>
        <w:rPr>
          <w:rFonts w:ascii="Times New Roman" w:hAnsi="Times New Roman" w:eastAsia="仿宋" w:cs="Times New Roman"/>
          <w:kern w:val="0"/>
          <w:sz w:val="32"/>
          <w:szCs w:val="32"/>
          <w:lang w:eastAsia="zh-CN" w:bidi="ar"/>
        </w:rPr>
        <w:t>高精度的观察，并对煤和岩石样品进行定量分析，探索了氟可能的载体矿物种类</w:t>
      </w:r>
      <w:r>
        <w:rPr>
          <w:rFonts w:hint="eastAsia" w:ascii="Times New Roman" w:hAnsi="Times New Roman" w:eastAsia="仿宋" w:cs="Times New Roman"/>
          <w:kern w:val="0"/>
          <w:sz w:val="32"/>
          <w:szCs w:val="32"/>
          <w:lang w:eastAsia="zh-CN" w:bidi="ar"/>
        </w:rPr>
        <w:t>。</w:t>
      </w:r>
      <w:r>
        <w:rPr>
          <w:rFonts w:ascii="Times New Roman" w:hAnsi="Times New Roman" w:eastAsia="仿宋" w:cs="Times New Roman"/>
          <w:kern w:val="0"/>
          <w:sz w:val="32"/>
          <w:szCs w:val="32"/>
          <w:lang w:eastAsia="zh-CN" w:bidi="ar"/>
        </w:rPr>
        <w:t>发现研究区15号煤层下部发育的高氟煤和夹矸物源可能为秦岭-大别造山带，其含氟矿物或溶液在流水作用下搬运至研究区，由于沼泽水介质条件的改变，使氟与黏土矿物结合，在成煤作用下富集于煤层或夹矸之中。首次在华北地区重要产煤基地的沁水煤田东南部发现煤中氟的富集，</w:t>
      </w:r>
      <w:r>
        <w:rPr>
          <w:rFonts w:hint="eastAsia" w:ascii="Times New Roman" w:hAnsi="Times New Roman" w:eastAsia="仿宋" w:cs="Times New Roman"/>
          <w:kern w:val="0"/>
          <w:sz w:val="32"/>
          <w:szCs w:val="32"/>
          <w:lang w:eastAsia="zh-CN" w:bidi="ar"/>
        </w:rPr>
        <w:t>并</w:t>
      </w:r>
      <w:r>
        <w:rPr>
          <w:rFonts w:ascii="Times New Roman" w:hAnsi="Times New Roman" w:eastAsia="仿宋" w:cs="Times New Roman"/>
          <w:kern w:val="0"/>
          <w:sz w:val="32"/>
          <w:szCs w:val="32"/>
          <w:lang w:eastAsia="zh-CN" w:bidi="ar"/>
        </w:rPr>
        <w:t>针对该地区煤中氟的研究可以丰富和完善我国在煤中氟的赋存状态及富集机理等方面的基础理论。此外，针对研究区15号煤中氟的异常富集，从物源供给、聚煤环境、构造运动、地下水活动等地质因素中筛选出影响煤中氟元素富集的主要因素，并结合不同物源区母岩的矿物学和地球化学特征，对煤中氟的物源区进行了限定。研究成果丰富了该区域煤中氟的赋存分布特征及其富集机理的系统性理论及研究，为区域氟污染控制、煤炭的合理配置利用等提供了理论依据，对煤中有害微量元素的来源及迁移转化研究等具有一定参考意义。</w:t>
      </w:r>
    </w:p>
    <w:p>
      <w:pPr>
        <w:spacing w:line="360" w:lineRule="auto"/>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eastAsia="zh-CN" w:bidi="ar"/>
        </w:rPr>
        <w:t>同意推荐《</w:t>
      </w:r>
      <w:r>
        <w:rPr>
          <w:rFonts w:ascii="Times New Roman" w:hAnsi="Times New Roman" w:eastAsia="仿宋" w:cs="Times New Roman"/>
          <w:kern w:val="0"/>
          <w:sz w:val="32"/>
          <w:szCs w:val="32"/>
          <w:lang w:bidi="ar"/>
        </w:rPr>
        <w:t>沁水煤田东南部太原组15号煤中氟的赋存状态与富集机理</w:t>
      </w:r>
      <w:r>
        <w:rPr>
          <w:rFonts w:hint="eastAsia" w:ascii="Times New Roman" w:hAnsi="Times New Roman" w:eastAsia="仿宋" w:cs="Times New Roman"/>
          <w:kern w:val="0"/>
          <w:sz w:val="32"/>
          <w:szCs w:val="32"/>
          <w:lang w:eastAsia="zh-CN" w:bidi="ar"/>
        </w:rPr>
        <w:t>》成果申报自然资源科技进步</w:t>
      </w:r>
      <w:r>
        <w:rPr>
          <w:rFonts w:ascii="Times New Roman" w:hAnsi="Times New Roman" w:eastAsia="仿宋" w:cs="Times New Roman"/>
          <w:kern w:val="0"/>
          <w:sz w:val="32"/>
          <w:szCs w:val="32"/>
          <w:lang w:bidi="ar"/>
        </w:rPr>
        <w:t>一等奖或二等奖。</w:t>
      </w:r>
    </w:p>
    <w:p>
      <w:pPr>
        <w:widowControl/>
        <w:ind w:firstLine="640" w:firstLineChars="200"/>
        <w:jc w:val="left"/>
        <w:outlineLvl w:val="0"/>
        <w:rPr>
          <w:rFonts w:ascii="Times New Roman" w:hAnsi="Times New Roman" w:eastAsia="黑体" w:cs="Times New Roman"/>
          <w:kern w:val="0"/>
          <w:sz w:val="32"/>
          <w:szCs w:val="32"/>
          <w:lang w:bidi="ar"/>
        </w:rPr>
      </w:pPr>
      <w:r>
        <w:rPr>
          <w:rFonts w:hint="eastAsia" w:ascii="Times New Roman" w:hAnsi="Times New Roman" w:eastAsia="黑体" w:cs="Times New Roman"/>
          <w:kern w:val="0"/>
          <w:sz w:val="32"/>
          <w:szCs w:val="32"/>
          <w:lang w:bidi="ar"/>
        </w:rPr>
        <w:t>三</w:t>
      </w:r>
      <w:r>
        <w:rPr>
          <w:rFonts w:ascii="Times New Roman" w:hAnsi="Times New Roman" w:eastAsia="黑体" w:cs="Times New Roman"/>
          <w:kern w:val="0"/>
          <w:sz w:val="32"/>
          <w:szCs w:val="32"/>
          <w:lang w:bidi="ar"/>
        </w:rPr>
        <w:t>、</w:t>
      </w:r>
      <w:r>
        <w:rPr>
          <w:rFonts w:hint="eastAsia" w:ascii="Times New Roman" w:hAnsi="Times New Roman" w:eastAsia="黑体" w:cs="Times New Roman"/>
          <w:kern w:val="0"/>
          <w:sz w:val="32"/>
          <w:szCs w:val="32"/>
          <w:lang w:bidi="ar"/>
        </w:rPr>
        <w:t>成果</w:t>
      </w:r>
      <w:r>
        <w:rPr>
          <w:rFonts w:ascii="Times New Roman" w:hAnsi="Times New Roman" w:eastAsia="黑体" w:cs="Times New Roman"/>
          <w:kern w:val="0"/>
          <w:sz w:val="32"/>
          <w:szCs w:val="32"/>
          <w:lang w:bidi="ar"/>
        </w:rPr>
        <w:t>简介</w:t>
      </w:r>
    </w:p>
    <w:p>
      <w:pPr>
        <w:spacing w:line="360" w:lineRule="auto"/>
        <w:ind w:firstLine="640" w:firstLineChars="200"/>
        <w:rPr>
          <w:rFonts w:ascii="Times New Roman" w:hAnsi="Times New Roman" w:eastAsia="仿宋" w:cs="Times New Roman"/>
          <w:sz w:val="32"/>
          <w:szCs w:val="32"/>
        </w:rPr>
      </w:pPr>
      <w:bookmarkStart w:id="0" w:name="jianJie"/>
      <w:r>
        <w:rPr>
          <w:rFonts w:ascii="Times New Roman" w:hAnsi="Times New Roman" w:eastAsia="仿宋" w:cs="Times New Roman"/>
          <w:sz w:val="32"/>
          <w:szCs w:val="32"/>
        </w:rPr>
        <w:t>1、立项背景</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通过“山西煤中微量元素的赋存规律与评价”项目的实施，发现沁水煤田东南部太原组15号煤中氟相对富集：根据该区183个钻孔的化验数据和项目样品数据，15号煤中氟含量为31-836ppm，平均为205ppm，大于中华人民共和国煤炭行业标准《煤中氟含量分级》（MT/T966-2005）中高氟煤（＞200ppm）的分级标准，其中165个样品氟含量高于100ppm，均值为217ppm；67个样品氟含量高于200ppm，均值为300ppm，形成了高氟煤区。虽然研究区内的晋城市早在1979年就被确定为煤烟污染型氟中毒病区，但到目前为止对该区域煤中氟的赋存分布特征及其富集机理缺乏深入系统地研究。这一问题的解决不但能为区域氟污染控制、煤炭的合理配置利用等提供基础数据，而且能丰富华北石炭-二叠纪煤中氟富集机理的研究。</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2、研究目标</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以沁水煤田东南部煤中氟的异常富集为切入点，基本查明煤中氟的分布规律和赋存状态，揭示地下水活动与煤中氟富集的关系，结合研究区的物源供给、沉积环境和地质构造背景，阐述煤中氟的富集机理。</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3、主要创新成果</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（1）系统分析了沁水煤田太原组15号煤中氟的赋存状态：</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通过相关性分析，推断沁水煤田东南部15号煤中氟以无机赋存为主，并主要以矿物吸附态的形式吸附于高岭石、勃姆石、伊蒙混层等黏土矿物中。同时利用带能谱仪的扫描电镜（SEM-EDX）进一步开展高精度的矿物形态、赋存特征和共生组合关系的观察，并对煤和岩石样品进行粉末X射线衍射定量分析（XRD），探索了氟可能的载体矿物种类。</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（2）研究了沁水煤田东南部太原组15号煤中氟的来源：</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研究区15号煤层下部发育的高氟煤和夹矸，经LaN/YbN-∑REE分析显示，其陆源碎屑源岩为花岗岩与玄武岩，其物源可能为秦岭-大别造山带，而15号煤层上部和顶板氟含量相对较低，陆源碎屑源岩显示为沉积岩，其物源可能为华北克拉通内部。</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（3）探讨了沁水煤田东南部太原组15号煤中氟的沉积环境及富集机理：</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研究区15号煤层形成前期富氟陆源碎屑的输入、较低的水体盐度和氧化-半氧化环境有利于富氟煤和富氟夹矸的形成；15号煤层形成后期，大面积接受K</w:t>
      </w:r>
      <w:r>
        <w:rPr>
          <w:rFonts w:ascii="Times New Roman" w:hAnsi="Times New Roman" w:eastAsia="仿宋" w:cs="Times New Roman"/>
          <w:bCs/>
          <w:sz w:val="32"/>
          <w:szCs w:val="32"/>
          <w:vertAlign w:val="subscript"/>
        </w:rPr>
        <w:t>2</w:t>
      </w:r>
      <w:r>
        <w:rPr>
          <w:rFonts w:ascii="Times New Roman" w:hAnsi="Times New Roman" w:eastAsia="仿宋" w:cs="Times New Roman"/>
          <w:bCs/>
          <w:sz w:val="32"/>
          <w:szCs w:val="32"/>
        </w:rPr>
        <w:t>石灰岩代表的大规模海侵，陆源碎屑输入减少，水体盐度增加，导致煤中氟含量较低。</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4、应用情况及社会经济效益</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kern w:val="0"/>
          <w:sz w:val="32"/>
          <w:szCs w:val="32"/>
          <w:lang w:bidi="ar"/>
        </w:rPr>
      </w:pPr>
      <w:r>
        <w:rPr>
          <w:rFonts w:ascii="Times New Roman" w:hAnsi="Times New Roman" w:eastAsia="仿宋" w:cs="Times New Roman"/>
          <w:bCs/>
          <w:sz w:val="32"/>
          <w:szCs w:val="32"/>
        </w:rPr>
        <w:t>项目的研究成果丰富了该区域煤中氟的赋存分布特征及其富集机理的系统性理论及研究，为区域氟污染控制、煤炭的合理配置利用等提供了理论依据，对减少煤中氟造成的环境污染具有重要的环境和社会效益。</w:t>
      </w:r>
    </w:p>
    <w:bookmarkEnd w:id="0"/>
    <w:p>
      <w:pPr>
        <w:widowControl/>
        <w:ind w:firstLine="640" w:firstLineChars="200"/>
        <w:jc w:val="left"/>
        <w:outlineLvl w:val="0"/>
        <w:rPr>
          <w:rFonts w:hint="eastAsia" w:ascii="Times New Roman" w:hAnsi="Times New Roman" w:eastAsia="黑体" w:cs="Times New Roman"/>
          <w:kern w:val="0"/>
          <w:sz w:val="32"/>
          <w:szCs w:val="32"/>
          <w:lang w:bidi="ar"/>
        </w:rPr>
      </w:pPr>
      <w:r>
        <w:rPr>
          <w:rFonts w:hint="eastAsia" w:ascii="Times New Roman" w:hAnsi="Times New Roman" w:eastAsia="黑体" w:cs="Times New Roman"/>
          <w:kern w:val="0"/>
          <w:sz w:val="32"/>
          <w:szCs w:val="32"/>
          <w:lang w:bidi="ar"/>
        </w:rPr>
        <w:t>四</w:t>
      </w:r>
      <w:r>
        <w:rPr>
          <w:rFonts w:ascii="Times New Roman" w:hAnsi="Times New Roman" w:eastAsia="黑体" w:cs="Times New Roman"/>
          <w:kern w:val="0"/>
          <w:sz w:val="32"/>
          <w:szCs w:val="32"/>
          <w:lang w:bidi="ar"/>
        </w:rPr>
        <w:t>、客观评价</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1.技术创新性与先进性</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（1）科技成果评价</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项目选取山西沁水煤田东南部典型煤矿，分析了沁水煤田太原组15号煤中氟的含量及分布规律；利用带能谱仪的扫描电镜（SEM-EDX）进一步开展了高精度的矿物形态、赋存特征和共生组合关系的观察，并对煤和岩石样品进行粉末X射线衍射定量分析（XRD），探索了氟可能的载体矿物种类；通过LaN/YbN-∑REE分析，发现研究区15号煤层下部发育的高氟煤和夹矸物源可能为秦岭-大别造山带，其含氟矿物或溶液在流水作用下搬运至研究区，由于沼泽水介质条件的改变，使氟与黏土矿物结合，在成煤作用下富集于煤层或夹矸之中。</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主要创新点在于首次在华北地区重要产煤基地的沁水煤田东南部发现煤中氟的富集，本项目针对该地区煤中氟的研究可以丰富和完善我国在煤中氟的赋存状态及富集机理等方面的基础理论。此外，针对研究区15号煤中氟的异常富集，从物源供给、聚煤环境、构造运动、地下水活动等地质因素中筛选出影响煤中氟元素富集的主要因素，并结合不同物源区母岩的矿物学和地球化学特征，对煤中氟的物源区进行了限定。</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研究成果丰富了该区域煤中氟的赋存分布特征及其富集机理的系统性理论及研究，为区域氟污染控制、煤炭的合理配置利用等提供了理论依据，对煤中有害微量元素的来源及迁移转化研究等具有一定参考意义。</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（2）科技查新结论</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1.文献对比分析</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在所检索文献范围内，涉及委托项目的相关文献有：</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本项目委托单位山西省地质矿产研究院有限公司报道了沁水煤田东南部太原组15号煤中氟的赋存状态与富集机理、沁水煤田15号煤中氟的赋存状态及其沉积环境分析。陕西省能源质量监督检验所的赵波报道了陕西煤中氟的含量分布及赋存形态研究。河南省煤炭地质勘察研究总院的曲亚辉报道了郑州地区煤中氟含量分布及赋存状态研究。煤炭科学技术研究院有限公司煤化工分院的张凝凝报道了中国典型气化用煤的氟含量特征与赋存状态研究。徐州市产品质量监督检验中心的张尊干报道了徐州煤中氟的含量分布及赋存状态研究。神华准能集团有限责任公司的李福平报道了哈尔乌素6号煤中氟元素的赋存特征研究。安徽理工大学的刘震报道了重庆南桐煤田煤中氟的分布规律与赋存状态研究。中国科学院地球化学研究所的郑宝山报道了鄂西石煤中硒和氟的存在状态富集规律环境危害途径研究。中国矿业大学的许继影报道了淮北煤田太灰水环境地球化学特征及氟的富集机制研究。</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2.结论</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综合分析检索到的相关文献，并与委托项目的查新点进行对比分析，可以得出如下结论：</w:t>
      </w:r>
    </w:p>
    <w:p>
      <w:pPr>
        <w:widowControl/>
        <w:kinsoku w:val="0"/>
        <w:autoSpaceDE w:val="0"/>
        <w:autoSpaceDN w:val="0"/>
        <w:adjustRightInd w:val="0"/>
        <w:snapToGrid w:val="0"/>
        <w:spacing w:line="360" w:lineRule="auto"/>
        <w:ind w:firstLine="640" w:firstLineChars="200"/>
        <w:textAlignment w:val="baseline"/>
        <w:rPr>
          <w:rFonts w:ascii="Times New Roman" w:hAnsi="Times New Roman" w:eastAsia="仿宋" w:cs="Times New Roman"/>
          <w:bCs/>
          <w:sz w:val="32"/>
          <w:szCs w:val="32"/>
        </w:rPr>
      </w:pPr>
      <w:r>
        <w:rPr>
          <w:rFonts w:ascii="Times New Roman" w:hAnsi="Times New Roman" w:eastAsia="仿宋" w:cs="Times New Roman"/>
          <w:bCs/>
          <w:sz w:val="32"/>
          <w:szCs w:val="32"/>
        </w:rPr>
        <w:t>检出文献中，见有陕西煤中氟的含量分布及赋存形态研究；淮北煤田太灰水环境地球化学特征及氟的富集机制研究等报道。但本项目所述的沁水煤田东南部太原组15号煤中氟的赋存状态与富集机理，具体为：“（1）煤中氟的分布规律研究：利用X射线荧光光谱（XRF）、高温燃烧水解-氟离子选择性电极、电感耦合等离子体质谱（ICP-MS）等方法测定煤及其它岩石样品中常量元素和氟等微量元素的含量，查明研究区太原组15号煤中氟的含量和空间分布特征，建立氟含量与煤的灰分、挥发分、常量元素及其它微量元素的关系。（2）煤中氟的赋存状态研究：针对所采煤样利用偏光显微镜结合显微分光光度计进行显微组分定量统计和镜质组反射率测定，并建立氟含量与显微组分的联系；利用低温灰化仪对煤样进行处理，对所得低温灰进行粉末 X 射线衍射定量分析（XRD），以更精确地确定煤中的矿物成分及其含量。（3）煤中氟的富集机理研究：综合煤质、煤岩、矿物和水文地球化学数据，查明研究区太原组15号煤中氟的含量、空间分布规律、赋存状态”，在所检文献以及时限范围内，国内未见文献报道。本项目具有新颖性。</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（3）项目验收结论</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国家自然科学基金项目：</w:t>
      </w:r>
      <w:r>
        <w:rPr>
          <w:rFonts w:ascii="Times New Roman" w:hAnsi="Times New Roman" w:eastAsia="仿宋" w:cs="Times New Roman"/>
          <w:kern w:val="0"/>
          <w:sz w:val="32"/>
          <w:szCs w:val="32"/>
          <w:lang w:bidi="ar"/>
        </w:rPr>
        <w:t>沁水煤田东南部太原组15号煤中氟的赋存状态与富集机理</w:t>
      </w:r>
      <w:r>
        <w:rPr>
          <w:rFonts w:hint="eastAsia" w:ascii="Times New Roman" w:hAnsi="Times New Roman" w:eastAsia="仿宋" w:cs="Times New Roman"/>
          <w:kern w:val="0"/>
          <w:sz w:val="32"/>
          <w:szCs w:val="32"/>
          <w:lang w:bidi="ar"/>
        </w:rPr>
        <w:t>，批准号：41902180，按有关规定已审核完毕，准予结题。</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2.同行评价</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项目的研究成果丰富了该区域煤中氟的赋存分布特征及其富集机理的系统性理论及研究，为区域氟污染控制、煤炭的合理配置利用等提供了理论依据。</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项目的研究成果对减少煤中氟造成的环境污染具有重要的环境和社会效益。</w:t>
      </w:r>
    </w:p>
    <w:p>
      <w:pPr>
        <w:widowControl/>
        <w:ind w:firstLine="640" w:firstLineChars="200"/>
        <w:rPr>
          <w:rFonts w:hint="eastAsia" w:ascii="Times New Roman" w:hAnsi="Times New Roman" w:eastAsia="仿宋" w:cs="Times New Roman"/>
          <w:kern w:val="0"/>
          <w:sz w:val="32"/>
          <w:szCs w:val="32"/>
          <w:lang w:bidi="ar"/>
        </w:rPr>
      </w:pPr>
      <w:r>
        <w:rPr>
          <w:rFonts w:hint="eastAsia" w:ascii="Times New Roman" w:hAnsi="Times New Roman" w:eastAsia="黑体" w:cs="Times New Roman"/>
          <w:kern w:val="0"/>
          <w:sz w:val="32"/>
          <w:szCs w:val="32"/>
          <w:lang w:bidi="ar"/>
        </w:rPr>
        <w:t>五</w:t>
      </w:r>
      <w:r>
        <w:rPr>
          <w:rFonts w:ascii="Times New Roman" w:hAnsi="Times New Roman" w:eastAsia="黑体" w:cs="Times New Roman"/>
          <w:kern w:val="0"/>
          <w:sz w:val="32"/>
          <w:szCs w:val="32"/>
          <w:lang w:bidi="ar"/>
        </w:rPr>
        <w:t>、主要知识产权证明目录</w:t>
      </w:r>
    </w:p>
    <w:p>
      <w:pPr>
        <w:widowControl/>
        <w:ind w:firstLine="560" w:firstLineChars="200"/>
        <w:jc w:val="left"/>
        <w:outlineLvl w:val="0"/>
        <w:rPr>
          <w:rFonts w:ascii="Times New Roman" w:hAnsi="Times New Roman" w:eastAsia="黑体" w:cs="Times New Roman"/>
          <w:kern w:val="0"/>
          <w:sz w:val="28"/>
          <w:szCs w:val="28"/>
          <w:lang w:bidi="ar"/>
        </w:rPr>
      </w:pPr>
      <w:r>
        <w:rPr>
          <w:rFonts w:ascii="Times New Roman" w:hAnsi="Times New Roman" w:eastAsia="黑体" w:cs="Times New Roman"/>
          <w:kern w:val="0"/>
          <w:sz w:val="28"/>
          <w:szCs w:val="28"/>
          <w:lang w:bidi="ar"/>
        </w:rPr>
        <w:t>1.代表性论文专著目录</w:t>
      </w:r>
    </w:p>
    <w:tbl>
      <w:tblPr>
        <w:tblStyle w:val="6"/>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1549"/>
        <w:gridCol w:w="1435"/>
        <w:gridCol w:w="1269"/>
        <w:gridCol w:w="1575"/>
        <w:gridCol w:w="717"/>
        <w:gridCol w:w="717"/>
        <w:gridCol w:w="850"/>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blHeader/>
          <w:jc w:val="center"/>
        </w:trPr>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序号</w:t>
            </w:r>
          </w:p>
        </w:tc>
        <w:tc>
          <w:tcPr>
            <w:tcW w:w="1549"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论文专著名称</w:t>
            </w:r>
          </w:p>
        </w:tc>
        <w:tc>
          <w:tcPr>
            <w:tcW w:w="1435"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刊名</w:t>
            </w:r>
          </w:p>
        </w:tc>
        <w:tc>
          <w:tcPr>
            <w:tcW w:w="1269"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作者</w:t>
            </w:r>
          </w:p>
        </w:tc>
        <w:tc>
          <w:tcPr>
            <w:tcW w:w="1575"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年卷页码(xx年xx卷xx页)</w:t>
            </w:r>
          </w:p>
        </w:tc>
        <w:tc>
          <w:tcPr>
            <w:tcW w:w="717"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发表时间</w:t>
            </w:r>
          </w:p>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年 月 日</w:t>
            </w:r>
          </w:p>
        </w:tc>
        <w:tc>
          <w:tcPr>
            <w:tcW w:w="717"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通讯作者/第一作者是否为本成果主要完成人</w:t>
            </w:r>
          </w:p>
        </w:tc>
        <w:tc>
          <w:tcPr>
            <w:tcW w:w="850"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SCI 他引次数</w:t>
            </w:r>
          </w:p>
        </w:tc>
        <w:tc>
          <w:tcPr>
            <w:tcW w:w="761"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他引总次数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1</w:t>
            </w:r>
          </w:p>
        </w:tc>
        <w:tc>
          <w:tcPr>
            <w:tcW w:w="1549"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沁水煤田</w:t>
            </w:r>
            <w:r>
              <w:rPr>
                <w:rFonts w:ascii="Times New Roman" w:hAnsi="Times New Roman" w:cs="Times New Roman"/>
              </w:rPr>
              <w:t>15</w:t>
            </w:r>
            <w:r>
              <w:rPr>
                <w:rFonts w:hint="eastAsia" w:ascii="宋体" w:hAnsi="宋体" w:eastAsia="宋体" w:cs="宋体"/>
              </w:rPr>
              <w:t>号煤中氟的赋存状态及其沉积环境分析</w:t>
            </w:r>
          </w:p>
        </w:tc>
        <w:tc>
          <w:tcPr>
            <w:tcW w:w="143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中国煤炭地质</w:t>
            </w:r>
          </w:p>
        </w:tc>
        <w:tc>
          <w:tcPr>
            <w:tcW w:w="1269"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张鹏</w:t>
            </w:r>
            <w:r>
              <w:rPr>
                <w:rFonts w:ascii="Times New Roman" w:hAnsi="Times New Roman" w:cs="Times New Roman"/>
              </w:rPr>
              <w:t xml:space="preserve">; </w:t>
            </w:r>
            <w:r>
              <w:rPr>
                <w:rFonts w:hint="eastAsia" w:ascii="宋体" w:hAnsi="宋体" w:eastAsia="宋体" w:cs="宋体"/>
              </w:rPr>
              <w:t>张绍韡</w:t>
            </w:r>
            <w:r>
              <w:rPr>
                <w:rFonts w:ascii="Times New Roman" w:hAnsi="Times New Roman" w:cs="Times New Roman"/>
              </w:rPr>
              <w:t>;</w:t>
            </w:r>
            <w:r>
              <w:rPr>
                <w:rFonts w:hint="eastAsia" w:ascii="宋体" w:hAnsi="宋体" w:eastAsia="宋体" w:cs="宋体"/>
              </w:rPr>
              <w:t>解锡超</w:t>
            </w:r>
            <w:r>
              <w:rPr>
                <w:rFonts w:ascii="Times New Roman" w:hAnsi="Times New Roman" w:cs="Times New Roman"/>
              </w:rPr>
              <w:t>;</w:t>
            </w:r>
            <w:r>
              <w:rPr>
                <w:rFonts w:hint="eastAsia" w:ascii="宋体" w:hAnsi="宋体" w:eastAsia="宋体" w:cs="宋体"/>
              </w:rPr>
              <w:t>游永建</w:t>
            </w:r>
            <w:r>
              <w:rPr>
                <w:rFonts w:ascii="Times New Roman" w:hAnsi="Times New Roman" w:cs="Times New Roman"/>
              </w:rPr>
              <w:t>;</w:t>
            </w:r>
            <w:r>
              <w:rPr>
                <w:rFonts w:hint="eastAsia" w:ascii="宋体" w:hAnsi="宋体" w:eastAsia="宋体" w:cs="宋体"/>
              </w:rPr>
              <w:t>李健</w:t>
            </w:r>
          </w:p>
        </w:tc>
        <w:tc>
          <w:tcPr>
            <w:tcW w:w="157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2021</w:t>
            </w:r>
            <w:r>
              <w:rPr>
                <w:rFonts w:hint="eastAsia" w:ascii="宋体" w:hAnsi="宋体" w:eastAsia="宋体" w:cs="宋体"/>
              </w:rPr>
              <w:t>，</w:t>
            </w:r>
            <w:r>
              <w:rPr>
                <w:rFonts w:ascii="Times New Roman" w:hAnsi="Times New Roman" w:cs="Times New Roman"/>
              </w:rPr>
              <w:t>33(3)</w:t>
            </w:r>
            <w:r>
              <w:rPr>
                <w:rFonts w:hint="eastAsia" w:ascii="宋体" w:hAnsi="宋体" w:eastAsia="宋体" w:cs="宋体"/>
              </w:rPr>
              <w:t>，</w:t>
            </w:r>
            <w:r>
              <w:rPr>
                <w:rFonts w:ascii="Times New Roman" w:hAnsi="Times New Roman" w:cs="Times New Roman"/>
              </w:rPr>
              <w:t>1-6</w:t>
            </w:r>
          </w:p>
        </w:tc>
        <w:tc>
          <w:tcPr>
            <w:tcW w:w="71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2021</w:t>
            </w:r>
            <w:r>
              <w:rPr>
                <w:rFonts w:ascii="Times New Roman" w:hAnsi="Times New Roman" w:cs="Times New Roman"/>
              </w:rPr>
              <w:br w:type="textWrapping"/>
            </w:r>
            <w:r>
              <w:rPr>
                <w:rFonts w:ascii="Times New Roman" w:hAnsi="Times New Roman" w:cs="Times New Roman"/>
              </w:rPr>
              <w:t>-03</w:t>
            </w:r>
            <w:r>
              <w:rPr>
                <w:rFonts w:ascii="Times New Roman" w:hAnsi="Times New Roman" w:cs="Times New Roman"/>
              </w:rPr>
              <w:br w:type="textWrapping"/>
            </w:r>
            <w:r>
              <w:rPr>
                <w:rFonts w:ascii="Times New Roman" w:hAnsi="Times New Roman" w:cs="Times New Roman"/>
              </w:rPr>
              <w:t>-01</w:t>
            </w:r>
          </w:p>
        </w:tc>
        <w:tc>
          <w:tcPr>
            <w:tcW w:w="71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是</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p>
        </w:tc>
        <w:tc>
          <w:tcPr>
            <w:tcW w:w="761"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2</w:t>
            </w:r>
          </w:p>
        </w:tc>
        <w:tc>
          <w:tcPr>
            <w:tcW w:w="1549"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山西省沁水煤田云泉矿区煤中硫赋存规律及地质成因研究</w:t>
            </w:r>
          </w:p>
        </w:tc>
        <w:tc>
          <w:tcPr>
            <w:tcW w:w="143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矿业安全与环保</w:t>
            </w:r>
          </w:p>
        </w:tc>
        <w:tc>
          <w:tcPr>
            <w:tcW w:w="1269"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郭强</w:t>
            </w:r>
            <w:r>
              <w:rPr>
                <w:rFonts w:ascii="Times New Roman" w:hAnsi="Times New Roman" w:cs="Times New Roman"/>
              </w:rPr>
              <w:t xml:space="preserve">; </w:t>
            </w:r>
            <w:r>
              <w:rPr>
                <w:rFonts w:hint="eastAsia" w:ascii="宋体" w:hAnsi="宋体" w:eastAsia="宋体" w:cs="宋体"/>
              </w:rPr>
              <w:t>张鹏</w:t>
            </w:r>
          </w:p>
        </w:tc>
        <w:tc>
          <w:tcPr>
            <w:tcW w:w="157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2022</w:t>
            </w:r>
            <w:r>
              <w:rPr>
                <w:rFonts w:hint="eastAsia" w:ascii="宋体" w:hAnsi="宋体" w:eastAsia="宋体" w:cs="宋体"/>
              </w:rPr>
              <w:t>，</w:t>
            </w:r>
            <w:r>
              <w:rPr>
                <w:rFonts w:ascii="Times New Roman" w:hAnsi="Times New Roman" w:cs="Times New Roman"/>
              </w:rPr>
              <w:t>49(6)</w:t>
            </w:r>
            <w:r>
              <w:rPr>
                <w:rFonts w:hint="eastAsia" w:ascii="宋体" w:hAnsi="宋体" w:eastAsia="宋体" w:cs="宋体"/>
              </w:rPr>
              <w:t>，</w:t>
            </w:r>
            <w:r>
              <w:rPr>
                <w:rFonts w:ascii="Times New Roman" w:hAnsi="Times New Roman" w:cs="Times New Roman"/>
              </w:rPr>
              <w:t>13-18</w:t>
            </w:r>
          </w:p>
        </w:tc>
        <w:tc>
          <w:tcPr>
            <w:tcW w:w="71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cs="Times New Roman"/>
              </w:rPr>
              <w:t>2022</w:t>
            </w:r>
            <w:r>
              <w:rPr>
                <w:rFonts w:ascii="Times New Roman" w:hAnsi="Times New Roman" w:cs="Times New Roman"/>
              </w:rPr>
              <w:br w:type="textWrapping"/>
            </w:r>
            <w:r>
              <w:rPr>
                <w:rFonts w:ascii="Times New Roman" w:hAnsi="Times New Roman" w:cs="Times New Roman"/>
              </w:rPr>
              <w:t>-12</w:t>
            </w:r>
            <w:r>
              <w:rPr>
                <w:rFonts w:ascii="Times New Roman" w:hAnsi="Times New Roman" w:cs="Times New Roman"/>
              </w:rPr>
              <w:br w:type="textWrapping"/>
            </w:r>
            <w:r>
              <w:rPr>
                <w:rFonts w:ascii="Times New Roman" w:hAnsi="Times New Roman" w:cs="Times New Roman"/>
              </w:rPr>
              <w:t>-01</w:t>
            </w:r>
          </w:p>
        </w:tc>
        <w:tc>
          <w:tcPr>
            <w:tcW w:w="71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hint="eastAsia" w:ascii="宋体" w:hAnsi="宋体" w:eastAsia="宋体" w:cs="宋体"/>
              </w:rPr>
              <w:t>是</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p>
        </w:tc>
        <w:tc>
          <w:tcPr>
            <w:tcW w:w="761"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p>
        </w:tc>
      </w:tr>
    </w:tbl>
    <w:p>
      <w:pPr>
        <w:widowControl/>
        <w:ind w:firstLine="560" w:firstLineChars="200"/>
        <w:jc w:val="left"/>
        <w:outlineLvl w:val="0"/>
        <w:rPr>
          <w:rFonts w:ascii="Times New Roman" w:hAnsi="Times New Roman" w:eastAsia="黑体" w:cs="Times New Roman"/>
          <w:kern w:val="0"/>
          <w:sz w:val="32"/>
          <w:szCs w:val="32"/>
          <w:lang w:bidi="ar"/>
        </w:rPr>
      </w:pPr>
      <w:r>
        <w:rPr>
          <w:rFonts w:hint="eastAsia" w:ascii="Times New Roman" w:hAnsi="Times New Roman" w:eastAsia="黑体" w:cs="Times New Roman"/>
          <w:kern w:val="0"/>
          <w:sz w:val="28"/>
          <w:szCs w:val="28"/>
          <w:lang w:bidi="ar"/>
        </w:rPr>
        <w:t>2</w:t>
      </w:r>
      <w:r>
        <w:rPr>
          <w:rFonts w:ascii="Times New Roman" w:hAnsi="Times New Roman" w:eastAsia="黑体" w:cs="Times New Roman"/>
          <w:kern w:val="0"/>
          <w:sz w:val="28"/>
          <w:szCs w:val="28"/>
          <w:lang w:bidi="ar"/>
        </w:rPr>
        <w:t>.</w:t>
      </w:r>
      <w:r>
        <w:rPr>
          <w:rFonts w:hint="eastAsia" w:ascii="Times New Roman" w:hAnsi="Times New Roman" w:eastAsia="黑体" w:cs="Times New Roman"/>
          <w:kern w:val="0"/>
          <w:sz w:val="28"/>
          <w:szCs w:val="28"/>
          <w:lang w:bidi="ar"/>
        </w:rPr>
        <w:t>专利、软著</w:t>
      </w:r>
    </w:p>
    <w:tbl>
      <w:tblPr>
        <w:tblStyle w:val="6"/>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800"/>
        <w:gridCol w:w="730"/>
        <w:gridCol w:w="1913"/>
        <w:gridCol w:w="1199"/>
        <w:gridCol w:w="1691"/>
        <w:gridCol w:w="765"/>
        <w:gridCol w:w="76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blHeader/>
          <w:jc w:val="center"/>
        </w:trPr>
        <w:tc>
          <w:tcPr>
            <w:tcW w:w="877"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知识产权（标准）类别</w:t>
            </w:r>
          </w:p>
        </w:tc>
        <w:tc>
          <w:tcPr>
            <w:tcW w:w="877"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知识产权（标准）具体名称</w:t>
            </w:r>
          </w:p>
        </w:tc>
        <w:tc>
          <w:tcPr>
            <w:tcW w:w="774"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国家（地区）</w:t>
            </w:r>
          </w:p>
        </w:tc>
        <w:tc>
          <w:tcPr>
            <w:tcW w:w="2003"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授权号（标准编号）</w:t>
            </w:r>
          </w:p>
        </w:tc>
        <w:tc>
          <w:tcPr>
            <w:tcW w:w="1267"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授权（标准发布）日期</w:t>
            </w:r>
          </w:p>
        </w:tc>
        <w:tc>
          <w:tcPr>
            <w:tcW w:w="1119"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证书编号（标准批准发布部门）</w:t>
            </w:r>
          </w:p>
        </w:tc>
        <w:tc>
          <w:tcPr>
            <w:tcW w:w="826"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权利人（标准起草单位）</w:t>
            </w:r>
          </w:p>
        </w:tc>
        <w:tc>
          <w:tcPr>
            <w:tcW w:w="827"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发明人（标准起草人）</w:t>
            </w:r>
          </w:p>
        </w:tc>
        <w:tc>
          <w:tcPr>
            <w:tcW w:w="930" w:type="dxa"/>
            <w:shd w:val="clear" w:color="auto" w:fill="auto"/>
            <w:vAlign w:val="center"/>
          </w:tcPr>
          <w:p>
            <w:pPr>
              <w:pStyle w:val="3"/>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发明专利（标准）有效状态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实用新型专利</w:t>
            </w:r>
          </w:p>
        </w:tc>
        <w:tc>
          <w:tcPr>
            <w:tcW w:w="87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矿物筛选装置</w:t>
            </w:r>
          </w:p>
        </w:tc>
        <w:tc>
          <w:tcPr>
            <w:tcW w:w="774"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中国</w:t>
            </w:r>
          </w:p>
        </w:tc>
        <w:tc>
          <w:tcPr>
            <w:tcW w:w="2003"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CN210304532U</w:t>
            </w:r>
          </w:p>
        </w:tc>
        <w:tc>
          <w:tcPr>
            <w:tcW w:w="126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2020-04-14</w:t>
            </w:r>
          </w:p>
        </w:tc>
        <w:tc>
          <w:tcPr>
            <w:tcW w:w="1119"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ZL201921114622.1</w:t>
            </w:r>
          </w:p>
        </w:tc>
        <w:tc>
          <w:tcPr>
            <w:tcW w:w="826"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山西省地质矿产研究院（山西省煤层气测试技术研究院）</w:t>
            </w:r>
          </w:p>
        </w:tc>
        <w:tc>
          <w:tcPr>
            <w:tcW w:w="82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张绍韡</w:t>
            </w:r>
            <w:r>
              <w:rPr>
                <w:rFonts w:hint="default" w:ascii="Times New Roman" w:hAnsi="Times New Roman"/>
                <w:color w:val="000000"/>
                <w:sz w:val="18"/>
                <w:szCs w:val="18"/>
              </w:rPr>
              <w:t>;</w:t>
            </w:r>
            <w:r>
              <w:rPr>
                <w:rFonts w:ascii="宋体" w:hAnsi="宋体" w:cs="宋体"/>
                <w:color w:val="000000"/>
                <w:sz w:val="18"/>
                <w:szCs w:val="18"/>
              </w:rPr>
              <w:t>孙富民</w:t>
            </w:r>
            <w:r>
              <w:rPr>
                <w:rFonts w:hint="default" w:ascii="Times New Roman" w:hAnsi="Times New Roman"/>
                <w:color w:val="000000"/>
                <w:sz w:val="18"/>
                <w:szCs w:val="18"/>
              </w:rPr>
              <w:t>;</w:t>
            </w:r>
            <w:r>
              <w:rPr>
                <w:rFonts w:ascii="宋体" w:hAnsi="宋体" w:cs="宋体"/>
                <w:color w:val="000000"/>
                <w:sz w:val="18"/>
                <w:szCs w:val="18"/>
              </w:rPr>
              <w:t>赵存良</w:t>
            </w:r>
            <w:r>
              <w:rPr>
                <w:rFonts w:hint="default" w:ascii="Times New Roman" w:hAnsi="Times New Roman"/>
                <w:color w:val="000000"/>
                <w:sz w:val="18"/>
                <w:szCs w:val="18"/>
              </w:rPr>
              <w:t>;</w:t>
            </w:r>
            <w:r>
              <w:rPr>
                <w:rFonts w:ascii="宋体" w:hAnsi="宋体" w:cs="宋体"/>
                <w:color w:val="000000"/>
                <w:sz w:val="18"/>
                <w:szCs w:val="18"/>
              </w:rPr>
              <w:t>王红冬</w:t>
            </w:r>
            <w:r>
              <w:rPr>
                <w:rFonts w:hint="default" w:ascii="Times New Roman" w:hAnsi="Times New Roman"/>
                <w:color w:val="000000"/>
                <w:sz w:val="18"/>
                <w:szCs w:val="18"/>
              </w:rPr>
              <w:t>;</w:t>
            </w:r>
            <w:r>
              <w:rPr>
                <w:rFonts w:ascii="宋体" w:hAnsi="宋体" w:cs="宋体"/>
                <w:color w:val="000000"/>
                <w:sz w:val="18"/>
                <w:szCs w:val="18"/>
              </w:rPr>
              <w:t>肖林</w:t>
            </w:r>
            <w:r>
              <w:rPr>
                <w:rFonts w:hint="default" w:ascii="Times New Roman" w:hAnsi="Times New Roman"/>
                <w:color w:val="000000"/>
                <w:sz w:val="18"/>
                <w:szCs w:val="18"/>
              </w:rPr>
              <w:t>;</w:t>
            </w:r>
            <w:r>
              <w:rPr>
                <w:rFonts w:ascii="宋体" w:hAnsi="宋体" w:cs="宋体"/>
                <w:color w:val="000000"/>
                <w:sz w:val="18"/>
                <w:szCs w:val="18"/>
              </w:rPr>
              <w:t>解锡超</w:t>
            </w:r>
            <w:r>
              <w:rPr>
                <w:rFonts w:hint="default" w:ascii="Times New Roman" w:hAnsi="Times New Roman"/>
                <w:color w:val="000000"/>
                <w:sz w:val="18"/>
                <w:szCs w:val="18"/>
              </w:rPr>
              <w:t>;</w:t>
            </w:r>
            <w:r>
              <w:rPr>
                <w:rFonts w:ascii="宋体" w:hAnsi="宋体" w:cs="宋体"/>
                <w:color w:val="000000"/>
                <w:sz w:val="18"/>
                <w:szCs w:val="18"/>
              </w:rPr>
              <w:t>李彦恒</w:t>
            </w:r>
            <w:r>
              <w:rPr>
                <w:rFonts w:hint="default" w:ascii="Times New Roman" w:hAnsi="Times New Roman"/>
                <w:color w:val="000000"/>
                <w:sz w:val="18"/>
                <w:szCs w:val="18"/>
              </w:rPr>
              <w:t>;</w:t>
            </w:r>
            <w:r>
              <w:rPr>
                <w:rFonts w:ascii="宋体" w:hAnsi="宋体" w:cs="宋体"/>
                <w:color w:val="000000"/>
                <w:sz w:val="18"/>
                <w:szCs w:val="18"/>
              </w:rPr>
              <w:t>张鹏</w:t>
            </w:r>
          </w:p>
        </w:tc>
        <w:tc>
          <w:tcPr>
            <w:tcW w:w="930"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实用新型专利</w:t>
            </w:r>
          </w:p>
        </w:tc>
        <w:tc>
          <w:tcPr>
            <w:tcW w:w="87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煤的伴生矿物分拣装置</w:t>
            </w:r>
          </w:p>
        </w:tc>
        <w:tc>
          <w:tcPr>
            <w:tcW w:w="774"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中国</w:t>
            </w:r>
          </w:p>
        </w:tc>
        <w:tc>
          <w:tcPr>
            <w:tcW w:w="2003"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CN201921124437.0</w:t>
            </w:r>
          </w:p>
        </w:tc>
        <w:tc>
          <w:tcPr>
            <w:tcW w:w="126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2020-04-17</w:t>
            </w:r>
          </w:p>
        </w:tc>
        <w:tc>
          <w:tcPr>
            <w:tcW w:w="1119"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ZL201921124437.0</w:t>
            </w:r>
          </w:p>
        </w:tc>
        <w:tc>
          <w:tcPr>
            <w:tcW w:w="826"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山西省地质矿产研究院（山西省煤层气测试技术研究院）</w:t>
            </w:r>
          </w:p>
        </w:tc>
        <w:tc>
          <w:tcPr>
            <w:tcW w:w="82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张绍韡</w:t>
            </w:r>
            <w:r>
              <w:rPr>
                <w:rFonts w:hint="default" w:ascii="Times New Roman" w:hAnsi="Times New Roman"/>
                <w:color w:val="000000"/>
                <w:sz w:val="18"/>
                <w:szCs w:val="18"/>
              </w:rPr>
              <w:t>;</w:t>
            </w:r>
            <w:r>
              <w:rPr>
                <w:rFonts w:ascii="宋体" w:hAnsi="宋体" w:cs="宋体"/>
                <w:color w:val="000000"/>
                <w:sz w:val="18"/>
                <w:szCs w:val="18"/>
              </w:rPr>
              <w:t>孙富民</w:t>
            </w:r>
            <w:r>
              <w:rPr>
                <w:rFonts w:hint="default" w:ascii="Times New Roman" w:hAnsi="Times New Roman"/>
                <w:color w:val="000000"/>
                <w:sz w:val="18"/>
                <w:szCs w:val="18"/>
              </w:rPr>
              <w:t>;</w:t>
            </w:r>
            <w:r>
              <w:rPr>
                <w:rFonts w:ascii="宋体" w:hAnsi="宋体" w:cs="宋体"/>
                <w:color w:val="000000"/>
                <w:sz w:val="18"/>
                <w:szCs w:val="18"/>
              </w:rPr>
              <w:t>赵存良</w:t>
            </w:r>
            <w:r>
              <w:rPr>
                <w:rFonts w:hint="default" w:ascii="Times New Roman" w:hAnsi="Times New Roman"/>
                <w:color w:val="000000"/>
                <w:sz w:val="18"/>
                <w:szCs w:val="18"/>
              </w:rPr>
              <w:t>;</w:t>
            </w:r>
            <w:r>
              <w:rPr>
                <w:rFonts w:ascii="宋体" w:hAnsi="宋体" w:cs="宋体"/>
                <w:color w:val="000000"/>
                <w:sz w:val="18"/>
                <w:szCs w:val="18"/>
              </w:rPr>
              <w:t>王红冬</w:t>
            </w:r>
            <w:r>
              <w:rPr>
                <w:rFonts w:hint="default" w:ascii="Times New Roman" w:hAnsi="Times New Roman"/>
                <w:color w:val="000000"/>
                <w:sz w:val="18"/>
                <w:szCs w:val="18"/>
              </w:rPr>
              <w:t>;</w:t>
            </w:r>
            <w:r>
              <w:rPr>
                <w:rFonts w:ascii="宋体" w:hAnsi="宋体" w:cs="宋体"/>
                <w:color w:val="000000"/>
                <w:sz w:val="18"/>
                <w:szCs w:val="18"/>
              </w:rPr>
              <w:t>肖林</w:t>
            </w:r>
            <w:r>
              <w:rPr>
                <w:rFonts w:hint="default" w:ascii="Times New Roman" w:hAnsi="Times New Roman"/>
                <w:color w:val="000000"/>
                <w:sz w:val="18"/>
                <w:szCs w:val="18"/>
              </w:rPr>
              <w:t>;</w:t>
            </w:r>
            <w:r>
              <w:rPr>
                <w:rFonts w:ascii="宋体" w:hAnsi="宋体" w:cs="宋体"/>
                <w:color w:val="000000"/>
                <w:sz w:val="18"/>
                <w:szCs w:val="18"/>
              </w:rPr>
              <w:t>解锡超</w:t>
            </w:r>
            <w:r>
              <w:rPr>
                <w:rFonts w:hint="default" w:ascii="Times New Roman" w:hAnsi="Times New Roman"/>
                <w:color w:val="000000"/>
                <w:sz w:val="18"/>
                <w:szCs w:val="18"/>
              </w:rPr>
              <w:t>;</w:t>
            </w:r>
            <w:r>
              <w:rPr>
                <w:rFonts w:ascii="宋体" w:hAnsi="宋体" w:cs="宋体"/>
                <w:color w:val="000000"/>
                <w:sz w:val="18"/>
                <w:szCs w:val="18"/>
              </w:rPr>
              <w:t>李彦恒</w:t>
            </w:r>
            <w:r>
              <w:rPr>
                <w:rFonts w:hint="default" w:ascii="Times New Roman" w:hAnsi="Times New Roman"/>
                <w:color w:val="000000"/>
                <w:sz w:val="18"/>
                <w:szCs w:val="18"/>
              </w:rPr>
              <w:t>;</w:t>
            </w:r>
            <w:r>
              <w:rPr>
                <w:rFonts w:ascii="宋体" w:hAnsi="宋体" w:cs="宋体"/>
                <w:color w:val="000000"/>
                <w:sz w:val="18"/>
                <w:szCs w:val="18"/>
              </w:rPr>
              <w:t>张鹏</w:t>
            </w:r>
          </w:p>
        </w:tc>
        <w:tc>
          <w:tcPr>
            <w:tcW w:w="930"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实用新型专利</w:t>
            </w:r>
          </w:p>
        </w:tc>
        <w:tc>
          <w:tcPr>
            <w:tcW w:w="87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煤伴生矿物碾压分离设备</w:t>
            </w:r>
          </w:p>
        </w:tc>
        <w:tc>
          <w:tcPr>
            <w:tcW w:w="774"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中国</w:t>
            </w:r>
          </w:p>
        </w:tc>
        <w:tc>
          <w:tcPr>
            <w:tcW w:w="2003"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CN201921036967.X</w:t>
            </w:r>
          </w:p>
        </w:tc>
        <w:tc>
          <w:tcPr>
            <w:tcW w:w="126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2020-04-28</w:t>
            </w:r>
          </w:p>
        </w:tc>
        <w:tc>
          <w:tcPr>
            <w:tcW w:w="1119"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hint="default" w:ascii="Times New Roman" w:hAnsi="Times New Roman"/>
                <w:color w:val="000000"/>
                <w:sz w:val="18"/>
                <w:szCs w:val="18"/>
              </w:rPr>
              <w:t>ZL201921036967.X</w:t>
            </w:r>
          </w:p>
        </w:tc>
        <w:tc>
          <w:tcPr>
            <w:tcW w:w="826"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山西省地质矿产研究院（山西省煤层气测试技术研究院）</w:t>
            </w:r>
          </w:p>
        </w:tc>
        <w:tc>
          <w:tcPr>
            <w:tcW w:w="827"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张绍韡</w:t>
            </w:r>
            <w:r>
              <w:rPr>
                <w:rFonts w:hint="default" w:ascii="Times New Roman" w:hAnsi="Times New Roman"/>
                <w:color w:val="000000"/>
                <w:sz w:val="18"/>
                <w:szCs w:val="18"/>
              </w:rPr>
              <w:t>;</w:t>
            </w:r>
            <w:r>
              <w:rPr>
                <w:rFonts w:ascii="宋体" w:hAnsi="宋体" w:cs="宋体"/>
                <w:color w:val="000000"/>
                <w:sz w:val="18"/>
                <w:szCs w:val="18"/>
              </w:rPr>
              <w:t>孙富民</w:t>
            </w:r>
            <w:r>
              <w:rPr>
                <w:rFonts w:hint="default" w:ascii="Times New Roman" w:hAnsi="Times New Roman"/>
                <w:color w:val="000000"/>
                <w:sz w:val="18"/>
                <w:szCs w:val="18"/>
              </w:rPr>
              <w:t>;</w:t>
            </w:r>
            <w:r>
              <w:rPr>
                <w:rFonts w:ascii="宋体" w:hAnsi="宋体" w:cs="宋体"/>
                <w:color w:val="000000"/>
                <w:sz w:val="18"/>
                <w:szCs w:val="18"/>
              </w:rPr>
              <w:t>赵存良</w:t>
            </w:r>
            <w:r>
              <w:rPr>
                <w:rFonts w:hint="default" w:ascii="Times New Roman" w:hAnsi="Times New Roman"/>
                <w:color w:val="000000"/>
                <w:sz w:val="18"/>
                <w:szCs w:val="18"/>
              </w:rPr>
              <w:t>;</w:t>
            </w:r>
            <w:r>
              <w:rPr>
                <w:rFonts w:ascii="宋体" w:hAnsi="宋体" w:cs="宋体"/>
                <w:color w:val="000000"/>
                <w:sz w:val="18"/>
                <w:szCs w:val="18"/>
              </w:rPr>
              <w:t>王红冬</w:t>
            </w:r>
            <w:r>
              <w:rPr>
                <w:rFonts w:hint="default" w:ascii="Times New Roman" w:hAnsi="Times New Roman"/>
                <w:color w:val="000000"/>
                <w:sz w:val="18"/>
                <w:szCs w:val="18"/>
              </w:rPr>
              <w:t>;</w:t>
            </w:r>
            <w:r>
              <w:rPr>
                <w:rFonts w:ascii="宋体" w:hAnsi="宋体" w:cs="宋体"/>
                <w:color w:val="000000"/>
                <w:sz w:val="18"/>
                <w:szCs w:val="18"/>
              </w:rPr>
              <w:t>肖林</w:t>
            </w:r>
            <w:r>
              <w:rPr>
                <w:rFonts w:hint="default" w:ascii="Times New Roman" w:hAnsi="Times New Roman"/>
                <w:color w:val="000000"/>
                <w:sz w:val="18"/>
                <w:szCs w:val="18"/>
              </w:rPr>
              <w:t>;</w:t>
            </w:r>
            <w:r>
              <w:rPr>
                <w:rFonts w:ascii="宋体" w:hAnsi="宋体" w:cs="宋体"/>
                <w:color w:val="000000"/>
                <w:sz w:val="18"/>
                <w:szCs w:val="18"/>
              </w:rPr>
              <w:t>解锡超</w:t>
            </w:r>
            <w:r>
              <w:rPr>
                <w:rFonts w:hint="default" w:ascii="Times New Roman" w:hAnsi="Times New Roman"/>
                <w:color w:val="000000"/>
                <w:sz w:val="18"/>
                <w:szCs w:val="18"/>
              </w:rPr>
              <w:t>;</w:t>
            </w:r>
            <w:r>
              <w:rPr>
                <w:rFonts w:ascii="宋体" w:hAnsi="宋体" w:cs="宋体"/>
                <w:color w:val="000000"/>
                <w:sz w:val="18"/>
                <w:szCs w:val="18"/>
              </w:rPr>
              <w:t>李彦恒</w:t>
            </w:r>
            <w:r>
              <w:rPr>
                <w:rFonts w:hint="default" w:ascii="Times New Roman" w:hAnsi="Times New Roman"/>
                <w:color w:val="000000"/>
                <w:sz w:val="18"/>
                <w:szCs w:val="18"/>
              </w:rPr>
              <w:t>;</w:t>
            </w:r>
            <w:r>
              <w:rPr>
                <w:rFonts w:ascii="宋体" w:hAnsi="宋体" w:cs="宋体"/>
                <w:color w:val="000000"/>
                <w:sz w:val="18"/>
                <w:szCs w:val="18"/>
              </w:rPr>
              <w:t>张鹏</w:t>
            </w:r>
          </w:p>
        </w:tc>
        <w:tc>
          <w:tcPr>
            <w:tcW w:w="930" w:type="dxa"/>
            <w:shd w:val="clear" w:color="auto" w:fill="auto"/>
            <w:vAlign w:val="center"/>
          </w:tcPr>
          <w:p>
            <w:pPr>
              <w:pStyle w:val="3"/>
              <w:ind w:firstLine="0" w:firstLineChars="0"/>
              <w:jc w:val="center"/>
              <w:rPr>
                <w:rFonts w:hint="default" w:ascii="Times New Roman" w:hAnsi="Times New Roman"/>
                <w:color w:val="000000"/>
                <w:sz w:val="18"/>
                <w:szCs w:val="18"/>
              </w:rPr>
            </w:pPr>
            <w:r>
              <w:rPr>
                <w:rFonts w:ascii="宋体" w:hAnsi="宋体" w:cs="宋体"/>
                <w:color w:val="000000"/>
                <w:sz w:val="18"/>
                <w:szCs w:val="18"/>
              </w:rPr>
              <w:t>有效</w:t>
            </w:r>
          </w:p>
        </w:tc>
      </w:tr>
    </w:tbl>
    <w:p>
      <w:pPr>
        <w:widowControl/>
        <w:ind w:firstLine="640" w:firstLineChars="200"/>
        <w:jc w:val="left"/>
        <w:rPr>
          <w:rFonts w:ascii="Times New Roman" w:hAnsi="Times New Roman" w:eastAsia="仿宋" w:cs="Times New Roman"/>
          <w:kern w:val="0"/>
          <w:sz w:val="32"/>
          <w:szCs w:val="32"/>
          <w:lang w:bidi="ar"/>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9E0"/>
    <w:rsid w:val="002250C1"/>
    <w:rsid w:val="00580E40"/>
    <w:rsid w:val="00773E98"/>
    <w:rsid w:val="007C52DF"/>
    <w:rsid w:val="00A07CA3"/>
    <w:rsid w:val="00B51139"/>
    <w:rsid w:val="00BA011F"/>
    <w:rsid w:val="00BF0CCF"/>
    <w:rsid w:val="00CC2615"/>
    <w:rsid w:val="00E27593"/>
    <w:rsid w:val="00F939E0"/>
    <w:rsid w:val="028F2B72"/>
    <w:rsid w:val="03167E83"/>
    <w:rsid w:val="032E1EEE"/>
    <w:rsid w:val="04DA39EB"/>
    <w:rsid w:val="059561BF"/>
    <w:rsid w:val="0676641E"/>
    <w:rsid w:val="06BA062D"/>
    <w:rsid w:val="08033F00"/>
    <w:rsid w:val="08FC2406"/>
    <w:rsid w:val="09032765"/>
    <w:rsid w:val="095B1CF3"/>
    <w:rsid w:val="0B1B17DC"/>
    <w:rsid w:val="0B4F5DF7"/>
    <w:rsid w:val="0B7D4993"/>
    <w:rsid w:val="0C34554C"/>
    <w:rsid w:val="0CB10451"/>
    <w:rsid w:val="0D9C27B5"/>
    <w:rsid w:val="0DB06884"/>
    <w:rsid w:val="0E351B58"/>
    <w:rsid w:val="0E4A5994"/>
    <w:rsid w:val="0EEE11BE"/>
    <w:rsid w:val="118D733C"/>
    <w:rsid w:val="119D55C5"/>
    <w:rsid w:val="119E7688"/>
    <w:rsid w:val="13966305"/>
    <w:rsid w:val="153F04FA"/>
    <w:rsid w:val="15BD476F"/>
    <w:rsid w:val="15D050A0"/>
    <w:rsid w:val="15E4723A"/>
    <w:rsid w:val="16093AB1"/>
    <w:rsid w:val="167067C3"/>
    <w:rsid w:val="1687422B"/>
    <w:rsid w:val="16AB10AA"/>
    <w:rsid w:val="16BB0318"/>
    <w:rsid w:val="17656F7E"/>
    <w:rsid w:val="193D6CC2"/>
    <w:rsid w:val="1A312930"/>
    <w:rsid w:val="1A744114"/>
    <w:rsid w:val="1A8445B6"/>
    <w:rsid w:val="1A933E50"/>
    <w:rsid w:val="1BC525DC"/>
    <w:rsid w:val="1BF43FB6"/>
    <w:rsid w:val="1C961DB7"/>
    <w:rsid w:val="1D031160"/>
    <w:rsid w:val="1D4421E6"/>
    <w:rsid w:val="1EDB68FF"/>
    <w:rsid w:val="1F85487C"/>
    <w:rsid w:val="21FF52BA"/>
    <w:rsid w:val="22117E76"/>
    <w:rsid w:val="221E3587"/>
    <w:rsid w:val="229F6CCB"/>
    <w:rsid w:val="22AC0527"/>
    <w:rsid w:val="233E0367"/>
    <w:rsid w:val="241F7688"/>
    <w:rsid w:val="24765FCC"/>
    <w:rsid w:val="24971B59"/>
    <w:rsid w:val="258128F5"/>
    <w:rsid w:val="259A6ACC"/>
    <w:rsid w:val="25AB59F5"/>
    <w:rsid w:val="27081C5F"/>
    <w:rsid w:val="277C316B"/>
    <w:rsid w:val="27FB15F1"/>
    <w:rsid w:val="29315A8C"/>
    <w:rsid w:val="29C805DF"/>
    <w:rsid w:val="2A477AFD"/>
    <w:rsid w:val="2A6A00BD"/>
    <w:rsid w:val="2B71470C"/>
    <w:rsid w:val="2BA715EA"/>
    <w:rsid w:val="2BAF1492"/>
    <w:rsid w:val="2C992537"/>
    <w:rsid w:val="2E41750A"/>
    <w:rsid w:val="2E5C4295"/>
    <w:rsid w:val="2ED543E3"/>
    <w:rsid w:val="30C46FA8"/>
    <w:rsid w:val="31643AC2"/>
    <w:rsid w:val="318A5B18"/>
    <w:rsid w:val="318D3FEB"/>
    <w:rsid w:val="3198788D"/>
    <w:rsid w:val="319E07C5"/>
    <w:rsid w:val="335611D0"/>
    <w:rsid w:val="345073C9"/>
    <w:rsid w:val="34C938C5"/>
    <w:rsid w:val="34F748E8"/>
    <w:rsid w:val="36086DCB"/>
    <w:rsid w:val="36F72FDE"/>
    <w:rsid w:val="37D27BE0"/>
    <w:rsid w:val="37ED7787"/>
    <w:rsid w:val="38576610"/>
    <w:rsid w:val="38D31343"/>
    <w:rsid w:val="39C52BEA"/>
    <w:rsid w:val="3AD701BC"/>
    <w:rsid w:val="3B45775A"/>
    <w:rsid w:val="3BE568FD"/>
    <w:rsid w:val="3C3F2A02"/>
    <w:rsid w:val="3EB83515"/>
    <w:rsid w:val="3F79605C"/>
    <w:rsid w:val="3FA848D7"/>
    <w:rsid w:val="415D3812"/>
    <w:rsid w:val="41F21C5F"/>
    <w:rsid w:val="429D698E"/>
    <w:rsid w:val="431651E8"/>
    <w:rsid w:val="431911D0"/>
    <w:rsid w:val="434F0C60"/>
    <w:rsid w:val="45034088"/>
    <w:rsid w:val="45651C15"/>
    <w:rsid w:val="459D4191"/>
    <w:rsid w:val="45D17AC9"/>
    <w:rsid w:val="46B72363"/>
    <w:rsid w:val="476F4615"/>
    <w:rsid w:val="47FF0EB5"/>
    <w:rsid w:val="48252637"/>
    <w:rsid w:val="48BC7D8F"/>
    <w:rsid w:val="4A066152"/>
    <w:rsid w:val="4BD264D1"/>
    <w:rsid w:val="4DFC677C"/>
    <w:rsid w:val="4E3A4E88"/>
    <w:rsid w:val="50437FBD"/>
    <w:rsid w:val="508575A7"/>
    <w:rsid w:val="50987EDF"/>
    <w:rsid w:val="52B14C1D"/>
    <w:rsid w:val="530A7463"/>
    <w:rsid w:val="54560F23"/>
    <w:rsid w:val="548B28A0"/>
    <w:rsid w:val="554236EB"/>
    <w:rsid w:val="558E30E7"/>
    <w:rsid w:val="56F11FC0"/>
    <w:rsid w:val="577F1E57"/>
    <w:rsid w:val="581771EB"/>
    <w:rsid w:val="58E617D7"/>
    <w:rsid w:val="58E8724D"/>
    <w:rsid w:val="59000122"/>
    <w:rsid w:val="5A9A630C"/>
    <w:rsid w:val="5E430D4F"/>
    <w:rsid w:val="5E705CB2"/>
    <w:rsid w:val="5F1145B2"/>
    <w:rsid w:val="5FA176F5"/>
    <w:rsid w:val="5FDA1088"/>
    <w:rsid w:val="61663F45"/>
    <w:rsid w:val="626A2EDB"/>
    <w:rsid w:val="63A21845"/>
    <w:rsid w:val="64662BB3"/>
    <w:rsid w:val="650F75DF"/>
    <w:rsid w:val="65251DF8"/>
    <w:rsid w:val="657A5F63"/>
    <w:rsid w:val="65F253C4"/>
    <w:rsid w:val="676065AB"/>
    <w:rsid w:val="676B730F"/>
    <w:rsid w:val="677E5A1A"/>
    <w:rsid w:val="67EE6749"/>
    <w:rsid w:val="680D4DC3"/>
    <w:rsid w:val="68115F93"/>
    <w:rsid w:val="68760211"/>
    <w:rsid w:val="690B431C"/>
    <w:rsid w:val="69696BAC"/>
    <w:rsid w:val="6A0818F1"/>
    <w:rsid w:val="6A3177AE"/>
    <w:rsid w:val="6B140B71"/>
    <w:rsid w:val="6B33617B"/>
    <w:rsid w:val="6C232935"/>
    <w:rsid w:val="6CD17DA0"/>
    <w:rsid w:val="6D7125A2"/>
    <w:rsid w:val="6DBB3DFF"/>
    <w:rsid w:val="6F563B91"/>
    <w:rsid w:val="700B53C3"/>
    <w:rsid w:val="71AE5418"/>
    <w:rsid w:val="72310D4D"/>
    <w:rsid w:val="73632199"/>
    <w:rsid w:val="74544FF3"/>
    <w:rsid w:val="75852B1A"/>
    <w:rsid w:val="77D1390D"/>
    <w:rsid w:val="77FC007F"/>
    <w:rsid w:val="78AF0B75"/>
    <w:rsid w:val="7A734CB8"/>
    <w:rsid w:val="7A79336B"/>
    <w:rsid w:val="7A844AB1"/>
    <w:rsid w:val="7A8608E9"/>
    <w:rsid w:val="7B692EB2"/>
    <w:rsid w:val="7C141EDD"/>
    <w:rsid w:val="7E030849"/>
    <w:rsid w:val="7E3A5CFA"/>
    <w:rsid w:val="7E99549C"/>
    <w:rsid w:val="7F623822"/>
    <w:rsid w:val="A5ABF276"/>
    <w:rsid w:val="E707D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3">
    <w:name w:val="Plain Text"/>
    <w:basedOn w:val="1"/>
    <w:qFormat/>
    <w:uiPriority w:val="0"/>
    <w:pPr>
      <w:spacing w:line="360" w:lineRule="auto"/>
      <w:ind w:firstLine="480" w:firstLineChars="200"/>
    </w:pPr>
    <w:rPr>
      <w:rFonts w:hint="eastAsia" w:ascii="仿宋_GB2312" w:hAnsi="Calibri" w:eastAsia="宋体" w:cs="Times New Roman"/>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1"/>
    <w:basedOn w:val="1"/>
    <w:qFormat/>
    <w:uiPriority w:val="0"/>
    <w:pPr>
      <w:spacing w:line="360" w:lineRule="auto"/>
      <w:ind w:firstLine="560" w:firstLineChars="200"/>
    </w:pPr>
    <w:rPr>
      <w:rFonts w:eastAsia="仿宋_GB2312"/>
      <w:sz w:val="28"/>
      <w:szCs w:val="28"/>
    </w:rPr>
  </w:style>
  <w:style w:type="paragraph" w:customStyle="1" w:styleId="10">
    <w:name w:val="Table Text"/>
    <w:basedOn w:val="1"/>
    <w:semiHidden/>
    <w:qFormat/>
    <w:uiPriority w:val="0"/>
    <w:rPr>
      <w:rFonts w:ascii="宋体" w:hAnsi="宋体" w:eastAsia="宋体" w:cs="宋体"/>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9</Pages>
  <Words>627</Words>
  <Characters>3576</Characters>
  <Lines>29</Lines>
  <Paragraphs>8</Paragraphs>
  <TotalTime>1</TotalTime>
  <ScaleCrop>false</ScaleCrop>
  <LinksUpToDate>false</LinksUpToDate>
  <CharactersWithSpaces>4195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kylin</cp:lastModifiedBy>
  <cp:lastPrinted>2024-12-26T00:01:00Z</cp:lastPrinted>
  <dcterms:modified xsi:type="dcterms:W3CDTF">2025-04-22T15:47:42Z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B78B5DAEA2044A308619B95F573DD6B5_13</vt:lpwstr>
  </property>
  <property fmtid="{D5CDD505-2E9C-101B-9397-08002B2CF9AE}" pid="4" name="KSOTemplateDocerSaveRecord">
    <vt:lpwstr>eyJoZGlkIjoiYzZhZWIzOTAwYzA1MzA2M2Y2Mzg0MWIwYjVhYWRlMTEiLCJ1c2VySWQiOiI1NjA3NjIyNjkifQ==</vt:lpwstr>
  </property>
</Properties>
</file>